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E0F71">
        <w:rPr>
          <w:rFonts w:ascii="Times New Roman" w:eastAsia="Calibri" w:hAnsi="Times New Roman" w:cs="Times New Roman"/>
          <w:b/>
          <w:sz w:val="28"/>
          <w:szCs w:val="28"/>
        </w:rPr>
        <w:t>АНТИТЕРРОРИСТИЧЕСКАЯ КОМИССИЯ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В БЕЛГОРОДСКОЙ ОБЛАСТИ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60855" cy="2116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ИНСТРУКЦИЯ</w:t>
      </w:r>
    </w:p>
    <w:p w:rsid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действиям руководителей учреждений и организаций 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0F71">
        <w:rPr>
          <w:rFonts w:ascii="Times New Roman" w:eastAsia="Calibri" w:hAnsi="Times New Roman" w:cs="Times New Roman"/>
          <w:b/>
          <w:bCs/>
          <w:sz w:val="32"/>
          <w:szCs w:val="32"/>
        </w:rPr>
        <w:t>при установлении уровней террористической опасности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F71">
        <w:rPr>
          <w:rFonts w:ascii="Times New Roman" w:eastAsia="Calibri" w:hAnsi="Times New Roman" w:cs="Times New Roman"/>
          <w:b/>
          <w:sz w:val="28"/>
          <w:szCs w:val="28"/>
        </w:rPr>
        <w:t>БЕЛГОРОД 2017</w:t>
      </w:r>
    </w:p>
    <w:p w:rsidR="005E0F71" w:rsidRPr="005E0F71" w:rsidRDefault="005E0F71" w:rsidP="005E0F7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AD3" w:rsidRPr="006C6AD3" w:rsidRDefault="006C6AD3" w:rsidP="006C6A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 соответствии с требованиями Указа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руководителям организаций</w:t>
      </w:r>
      <w:r w:rsidR="006C6AD3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6C6AD3">
        <w:rPr>
          <w:rFonts w:ascii="Times New Roman" w:hAnsi="Times New Roman" w:cs="Times New Roman"/>
          <w:sz w:val="28"/>
          <w:szCs w:val="28"/>
        </w:rPr>
        <w:t>, при установлении  уровней террор</w:t>
      </w:r>
      <w:r w:rsidR="00D70AF0">
        <w:rPr>
          <w:rFonts w:ascii="Times New Roman" w:hAnsi="Times New Roman" w:cs="Times New Roman"/>
          <w:sz w:val="28"/>
          <w:szCs w:val="28"/>
        </w:rPr>
        <w:t>ист</w:t>
      </w:r>
      <w:r w:rsidR="006633C0">
        <w:rPr>
          <w:rFonts w:ascii="Times New Roman" w:hAnsi="Times New Roman" w:cs="Times New Roman"/>
          <w:sz w:val="28"/>
          <w:szCs w:val="28"/>
        </w:rPr>
        <w:t>ической опасности, необходимо</w:t>
      </w:r>
      <w:r w:rsidRPr="006C6AD3">
        <w:rPr>
          <w:rFonts w:ascii="Times New Roman" w:hAnsi="Times New Roman" w:cs="Times New Roman"/>
          <w:sz w:val="28"/>
          <w:szCs w:val="28"/>
        </w:rPr>
        <w:t xml:space="preserve"> выполнить следующие мероприятия: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I. При установлении повышенного («синего»)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Информировать сотрудников и охрану организации об установлении повышенного («синего») уровня террористической опасности. Провести дополнительные инструктажи по порядку действий при угрозе совершения или совершении террористического акта (в том числе по действиям при обнару</w:t>
      </w:r>
      <w:r w:rsidR="00D70AF0">
        <w:rPr>
          <w:rFonts w:ascii="Times New Roman" w:hAnsi="Times New Roman" w:cs="Times New Roman"/>
          <w:sz w:val="28"/>
          <w:szCs w:val="28"/>
        </w:rPr>
        <w:t>жении подозрительных предметов).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Провести проверки технологического и иного оборудования</w:t>
      </w:r>
      <w:r w:rsidR="00A74E63">
        <w:rPr>
          <w:rFonts w:ascii="Times New Roman" w:hAnsi="Times New Roman" w:cs="Times New Roman"/>
          <w:sz w:val="28"/>
          <w:szCs w:val="28"/>
        </w:rPr>
        <w:t>, а также усилить осмотр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прилегающей к зданию территории (каждые 2 часа), на которой находится организация, обращая особое внимание на уязвимые критические элементы и потенциально опасные участки, места хранения пожаро/взрывоопасных материалов, в целях выявления возможных мест закладки </w:t>
      </w:r>
      <w:r w:rsidR="006C6AD3">
        <w:rPr>
          <w:rFonts w:ascii="Times New Roman" w:hAnsi="Times New Roman" w:cs="Times New Roman"/>
          <w:sz w:val="28"/>
          <w:szCs w:val="28"/>
        </w:rPr>
        <w:t>взрывных устройств</w:t>
      </w:r>
      <w:r w:rsidRPr="006C6AD3">
        <w:rPr>
          <w:rFonts w:ascii="Times New Roman" w:hAnsi="Times New Roman" w:cs="Times New Roman"/>
          <w:sz w:val="28"/>
          <w:szCs w:val="28"/>
        </w:rPr>
        <w:t xml:space="preserve">. При обнаружении на территории объекта, </w:t>
      </w:r>
      <w:r w:rsidR="006C6AD3">
        <w:rPr>
          <w:rFonts w:ascii="Times New Roman" w:hAnsi="Times New Roman" w:cs="Times New Roman"/>
          <w:sz w:val="28"/>
          <w:szCs w:val="28"/>
        </w:rPr>
        <w:t xml:space="preserve">подозрительных </w:t>
      </w:r>
      <w:r w:rsidRPr="006C6AD3">
        <w:rPr>
          <w:rFonts w:ascii="Times New Roman" w:hAnsi="Times New Roman" w:cs="Times New Roman"/>
          <w:sz w:val="28"/>
          <w:szCs w:val="28"/>
        </w:rPr>
        <w:t xml:space="preserve">предметов, которые могут быть использованы </w:t>
      </w:r>
      <w:r w:rsidR="006C6AD3">
        <w:rPr>
          <w:rFonts w:ascii="Times New Roman" w:hAnsi="Times New Roman" w:cs="Times New Roman"/>
          <w:sz w:val="28"/>
          <w:szCs w:val="28"/>
        </w:rPr>
        <w:t>как взрывные устройства</w:t>
      </w:r>
      <w:r w:rsidRPr="006C6AD3">
        <w:rPr>
          <w:rFonts w:ascii="Times New Roman" w:hAnsi="Times New Roman" w:cs="Times New Roman"/>
          <w:sz w:val="28"/>
          <w:szCs w:val="28"/>
        </w:rPr>
        <w:t>, не трогать и не вскрывать их. Незамедлительно сообщить о находке в правоохранительные органы. Обеспечит</w:t>
      </w:r>
      <w:r w:rsidR="006C6AD3">
        <w:rPr>
          <w:rFonts w:ascii="Times New Roman" w:hAnsi="Times New Roman" w:cs="Times New Roman"/>
          <w:sz w:val="28"/>
          <w:szCs w:val="28"/>
        </w:rPr>
        <w:t>ь оцепление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подходов к обнаруженному предмету на</w:t>
      </w:r>
      <w:r w:rsidR="00A74E63">
        <w:rPr>
          <w:rFonts w:ascii="Times New Roman" w:hAnsi="Times New Roman" w:cs="Times New Roman"/>
          <w:sz w:val="28"/>
          <w:szCs w:val="28"/>
        </w:rPr>
        <w:t xml:space="preserve"> расстоянии не менее 100</w:t>
      </w:r>
      <w:r w:rsidR="00D70AF0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Ужесточить пропускной режим, досмотровые мероприятия сотрудников организаций, посетителей, транспорта. В случае противоправного проникновения в здание организации неизвестных лиц, незамедлительно информировать об</w:t>
      </w:r>
      <w:r w:rsidR="00D70AF0">
        <w:rPr>
          <w:rFonts w:ascii="Times New Roman" w:hAnsi="Times New Roman" w:cs="Times New Roman"/>
          <w:sz w:val="28"/>
          <w:szCs w:val="28"/>
        </w:rPr>
        <w:t xml:space="preserve"> этом правоохранительные органы.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Следить за да</w:t>
      </w:r>
      <w:r w:rsidR="00D87A1A">
        <w:rPr>
          <w:rFonts w:ascii="Times New Roman" w:hAnsi="Times New Roman" w:cs="Times New Roman"/>
          <w:sz w:val="28"/>
          <w:szCs w:val="28"/>
        </w:rPr>
        <w:t>льнейшей информацией. При отмене</w:t>
      </w:r>
      <w:r w:rsidRPr="006C6AD3">
        <w:rPr>
          <w:rFonts w:ascii="Times New Roman" w:hAnsi="Times New Roman" w:cs="Times New Roman"/>
          <w:sz w:val="28"/>
          <w:szCs w:val="28"/>
        </w:rPr>
        <w:t xml:space="preserve"> (изменении) уровня террористической опасности, информировать об этом с</w:t>
      </w:r>
      <w:r w:rsidR="00D70AF0">
        <w:rPr>
          <w:rFonts w:ascii="Times New Roman" w:hAnsi="Times New Roman" w:cs="Times New Roman"/>
          <w:sz w:val="28"/>
          <w:szCs w:val="28"/>
        </w:rPr>
        <w:t>отрудников и охрану организации.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b/>
          <w:bCs/>
          <w:sz w:val="28"/>
          <w:szCs w:val="28"/>
        </w:rPr>
        <w:t>II. При установлении высокого («желтого»)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установлении повышенного («синего») ур</w:t>
      </w:r>
      <w:r w:rsidR="00D70AF0">
        <w:rPr>
          <w:rFonts w:ascii="Times New Roman" w:hAnsi="Times New Roman" w:cs="Times New Roman"/>
          <w:sz w:val="28"/>
          <w:szCs w:val="28"/>
        </w:rPr>
        <w:t>овня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Уточнить расчет имеющихся сил и средств, предназначенных для ликвидации последствий террористического акта</w:t>
      </w:r>
      <w:r w:rsidR="00BF3D2C">
        <w:rPr>
          <w:rFonts w:ascii="Times New Roman" w:hAnsi="Times New Roman" w:cs="Times New Roman"/>
          <w:sz w:val="28"/>
          <w:szCs w:val="28"/>
        </w:rPr>
        <w:t xml:space="preserve"> или </w:t>
      </w:r>
      <w:r w:rsidR="00A74E63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BF3D2C">
        <w:rPr>
          <w:rFonts w:ascii="Times New Roman" w:hAnsi="Times New Roman" w:cs="Times New Roman"/>
          <w:sz w:val="28"/>
          <w:szCs w:val="28"/>
        </w:rPr>
        <w:t>чрезвычайного происшествия связанного с ним</w:t>
      </w:r>
      <w:r w:rsidRPr="006C6AD3">
        <w:rPr>
          <w:rFonts w:ascii="Times New Roman" w:hAnsi="Times New Roman" w:cs="Times New Roman"/>
          <w:sz w:val="28"/>
          <w:szCs w:val="28"/>
        </w:rPr>
        <w:t>, а также технических средств и специального оборудования дл</w:t>
      </w:r>
      <w:r w:rsidR="00D70AF0">
        <w:rPr>
          <w:rFonts w:ascii="Times New Roman" w:hAnsi="Times New Roman" w:cs="Times New Roman"/>
          <w:sz w:val="28"/>
          <w:szCs w:val="28"/>
        </w:rPr>
        <w:t>я проведения спасательных работ.</w:t>
      </w:r>
    </w:p>
    <w:p w:rsidR="00F772BC" w:rsidRDefault="008B2640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Проверить готовность сотрудников организации, осуществляющих функции по локализации кризисных ситуаций и отработать их совместные действия по пресечению террорис</w:t>
      </w:r>
      <w:r w:rsidR="00BF3D2C">
        <w:rPr>
          <w:rFonts w:ascii="Times New Roman" w:hAnsi="Times New Roman" w:cs="Times New Roman"/>
          <w:sz w:val="28"/>
          <w:szCs w:val="28"/>
        </w:rPr>
        <w:t>т</w:t>
      </w:r>
      <w:r w:rsidR="00F772BC">
        <w:rPr>
          <w:rFonts w:ascii="Times New Roman" w:hAnsi="Times New Roman" w:cs="Times New Roman"/>
          <w:sz w:val="28"/>
          <w:szCs w:val="28"/>
        </w:rPr>
        <w:t>ического акта и спасению людей.</w:t>
      </w:r>
    </w:p>
    <w:p w:rsidR="00BF3D2C" w:rsidRDefault="00BF3D2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C">
        <w:rPr>
          <w:rFonts w:ascii="Times New Roman" w:hAnsi="Times New Roman" w:cs="Times New Roman"/>
          <w:sz w:val="28"/>
          <w:szCs w:val="28"/>
        </w:rPr>
        <w:t>Провести дополнительные тренировки среди сотрудников организации по практическому применению сил и средств, привлекаемых в случае возникновения угрозы террористического акта или чрезвычайного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2BC" w:rsidRPr="00BF3D2C" w:rsidRDefault="00F772BC" w:rsidP="00BF3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возможные маршруты эвакуации людей в случае возникновения каких либо чрезвычайный ситуаций.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Определить места, пригодные для временного размещения сотрудников организации, эвакуированных с объекта в случае введения правового режима</w:t>
      </w:r>
      <w:r w:rsidR="00F772BC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При установлении критического («красного</w:t>
      </w:r>
      <w:r w:rsidR="008B2640" w:rsidRPr="006C6AD3">
        <w:rPr>
          <w:rFonts w:ascii="Times New Roman" w:hAnsi="Times New Roman" w:cs="Times New Roman"/>
          <w:b/>
          <w:bCs/>
          <w:sz w:val="28"/>
          <w:szCs w:val="28"/>
        </w:rPr>
        <w:t>») уровня террористической опасности: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при введении повышенного («синего») и высокого («желтого») уро</w:t>
      </w:r>
      <w:r w:rsidR="00D70AF0">
        <w:rPr>
          <w:rFonts w:ascii="Times New Roman" w:hAnsi="Times New Roman" w:cs="Times New Roman"/>
          <w:sz w:val="28"/>
          <w:szCs w:val="28"/>
        </w:rPr>
        <w:t>вней террористической опасности.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Усилить охрану уязвимых критических элементов и потенциаль</w:t>
      </w:r>
      <w:r w:rsidR="00BF3D2C">
        <w:rPr>
          <w:rFonts w:ascii="Times New Roman" w:hAnsi="Times New Roman" w:cs="Times New Roman"/>
          <w:sz w:val="28"/>
          <w:szCs w:val="28"/>
        </w:rPr>
        <w:t>но опасных участков.</w:t>
      </w:r>
    </w:p>
    <w:p w:rsidR="008B2640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Принять неотложные меры по спасению людей, охране имущества, оставшегося без присмотра, содействовать беспереб</w:t>
      </w:r>
      <w:r w:rsidR="00D70AF0">
        <w:rPr>
          <w:rFonts w:ascii="Times New Roman" w:hAnsi="Times New Roman" w:cs="Times New Roman"/>
          <w:sz w:val="28"/>
          <w:szCs w:val="28"/>
        </w:rPr>
        <w:t>ойной работе спасательных служб.</w:t>
      </w:r>
    </w:p>
    <w:p w:rsidR="00BF3D2C" w:rsidRDefault="00BF3D2C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пункт временного размещения людей, удаленных с отдельных</w:t>
      </w:r>
      <w:r w:rsidR="00F772BC">
        <w:rPr>
          <w:rFonts w:ascii="Times New Roman" w:hAnsi="Times New Roman" w:cs="Times New Roman"/>
          <w:sz w:val="28"/>
          <w:szCs w:val="28"/>
        </w:rPr>
        <w:t xml:space="preserve"> участков местности и объектов,</w:t>
      </w:r>
      <w:r>
        <w:rPr>
          <w:rFonts w:ascii="Times New Roman" w:hAnsi="Times New Roman" w:cs="Times New Roman"/>
          <w:sz w:val="28"/>
          <w:szCs w:val="28"/>
        </w:rPr>
        <w:t xml:space="preserve"> в случае введения правового режима КТО.</w:t>
      </w:r>
    </w:p>
    <w:p w:rsidR="00BF3D2C" w:rsidRPr="006C6AD3" w:rsidRDefault="00EC0A79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состояние готовности имеющиеся транспортные</w:t>
      </w:r>
      <w:r w:rsidR="00BF3D2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3D2C">
        <w:rPr>
          <w:rFonts w:ascii="Times New Roman" w:hAnsi="Times New Roman" w:cs="Times New Roman"/>
          <w:sz w:val="28"/>
          <w:szCs w:val="28"/>
        </w:rPr>
        <w:t xml:space="preserve"> </w:t>
      </w:r>
      <w:r w:rsidR="00F772BC">
        <w:rPr>
          <w:rFonts w:ascii="Times New Roman" w:hAnsi="Times New Roman" w:cs="Times New Roman"/>
          <w:sz w:val="28"/>
          <w:szCs w:val="28"/>
        </w:rPr>
        <w:t>для эвакуации людей.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Обеспеч</w:t>
      </w:r>
      <w:r w:rsidR="00BF3D2C">
        <w:rPr>
          <w:rFonts w:ascii="Times New Roman" w:hAnsi="Times New Roman" w:cs="Times New Roman"/>
          <w:sz w:val="28"/>
          <w:szCs w:val="28"/>
        </w:rPr>
        <w:t>ить эвакуацию</w:t>
      </w:r>
      <w:r w:rsidRPr="006C6AD3">
        <w:rPr>
          <w:rFonts w:ascii="Times New Roman" w:hAnsi="Times New Roman" w:cs="Times New Roman"/>
          <w:sz w:val="28"/>
          <w:szCs w:val="28"/>
        </w:rPr>
        <w:t xml:space="preserve"> персонала с объекта в случае введения </w:t>
      </w:r>
      <w:r w:rsidR="00BF3D2C">
        <w:rPr>
          <w:rFonts w:ascii="Times New Roman" w:hAnsi="Times New Roman" w:cs="Times New Roman"/>
          <w:sz w:val="28"/>
          <w:szCs w:val="28"/>
        </w:rPr>
        <w:t xml:space="preserve">на нем </w:t>
      </w:r>
      <w:r w:rsidRPr="006C6AD3">
        <w:rPr>
          <w:rFonts w:ascii="Times New Roman" w:hAnsi="Times New Roman" w:cs="Times New Roman"/>
          <w:sz w:val="28"/>
          <w:szCs w:val="28"/>
        </w:rPr>
        <w:t>режима</w:t>
      </w:r>
      <w:r w:rsidR="00D70AF0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операции.</w:t>
      </w:r>
    </w:p>
    <w:p w:rsidR="008B2640" w:rsidRPr="006C6AD3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AD3">
        <w:rPr>
          <w:rFonts w:ascii="Times New Roman" w:hAnsi="Times New Roman" w:cs="Times New Roman"/>
          <w:sz w:val="28"/>
          <w:szCs w:val="28"/>
        </w:rPr>
        <w:t>Содействовать приведению в состояние готовности группировки сил и средств, созданной для проведения контртеррористической операции.</w:t>
      </w:r>
    </w:p>
    <w:p w:rsidR="006C6AD3" w:rsidRDefault="006C6AD3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b/>
          <w:bCs/>
          <w:i/>
          <w:sz w:val="28"/>
          <w:szCs w:val="28"/>
        </w:rPr>
        <w:t>Уровни террористической опасности</w:t>
      </w:r>
      <w:r w:rsidR="006C6AD3" w:rsidRPr="00EC0A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-повышенный («синий»):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0A79">
        <w:rPr>
          <w:rFonts w:ascii="Times New Roman" w:hAnsi="Times New Roman" w:cs="Times New Roman"/>
          <w:i/>
          <w:sz w:val="28"/>
          <w:szCs w:val="28"/>
        </w:rPr>
        <w:t>при наличии требующей подтверждения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-высокий («желтый»): при наличии подтвержденной информации о реальной возможности совершения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;</w:t>
      </w:r>
    </w:p>
    <w:p w:rsidR="008B2640" w:rsidRPr="00EC0A79" w:rsidRDefault="008B2640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0A79">
        <w:rPr>
          <w:rFonts w:ascii="Times New Roman" w:hAnsi="Times New Roman" w:cs="Times New Roman"/>
          <w:i/>
          <w:sz w:val="28"/>
          <w:szCs w:val="28"/>
        </w:rPr>
        <w:t>-критический («красный»): 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="00EC0A79" w:rsidRPr="00EC0A79">
        <w:rPr>
          <w:rFonts w:ascii="Times New Roman" w:hAnsi="Times New Roman" w:cs="Times New Roman"/>
          <w:i/>
          <w:sz w:val="28"/>
          <w:szCs w:val="28"/>
        </w:rPr>
        <w:t>.</w:t>
      </w:r>
    </w:p>
    <w:p w:rsidR="00EB07AA" w:rsidRDefault="00EB07AA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060D" w:rsidRPr="000F060D" w:rsidRDefault="000F060D" w:rsidP="000F06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0F060D">
        <w:rPr>
          <w:rFonts w:ascii="Times New Roman" w:eastAsia="Times New Roman" w:hAnsi="Times New Roman" w:cs="Times New Roman"/>
          <w:b/>
          <w:i/>
          <w:spacing w:val="-9"/>
          <w:sz w:val="32"/>
          <w:szCs w:val="28"/>
          <w:lang w:eastAsia="ru-RU"/>
        </w:rPr>
        <w:t>Аппарат АТК Белгородской области</w:t>
      </w:r>
    </w:p>
    <w:p w:rsidR="000F060D" w:rsidRPr="00EC0A79" w:rsidRDefault="000F060D" w:rsidP="006C6A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F060D" w:rsidRPr="00EC0A79" w:rsidSect="005E0F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78" w:rsidRDefault="00E02B78" w:rsidP="005E0F71">
      <w:pPr>
        <w:spacing w:after="0" w:line="240" w:lineRule="auto"/>
      </w:pPr>
      <w:r>
        <w:separator/>
      </w:r>
    </w:p>
  </w:endnote>
  <w:endnote w:type="continuationSeparator" w:id="0">
    <w:p w:rsidR="00E02B78" w:rsidRDefault="00E02B78" w:rsidP="005E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78" w:rsidRDefault="00E02B78" w:rsidP="005E0F71">
      <w:pPr>
        <w:spacing w:after="0" w:line="240" w:lineRule="auto"/>
      </w:pPr>
      <w:r>
        <w:separator/>
      </w:r>
    </w:p>
  </w:footnote>
  <w:footnote w:type="continuationSeparator" w:id="0">
    <w:p w:rsidR="00E02B78" w:rsidRDefault="00E02B78" w:rsidP="005E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16217"/>
      <w:docPartObj>
        <w:docPartGallery w:val="Page Numbers (Top of Page)"/>
        <w:docPartUnique/>
      </w:docPartObj>
    </w:sdtPr>
    <w:sdtEndPr/>
    <w:sdtContent>
      <w:p w:rsidR="005E0F71" w:rsidRDefault="005E0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4AC">
          <w:rPr>
            <w:noProof/>
          </w:rPr>
          <w:t>2</w:t>
        </w:r>
        <w:r>
          <w:fldChar w:fldCharType="end"/>
        </w:r>
      </w:p>
    </w:sdtContent>
  </w:sdt>
  <w:p w:rsidR="005E0F71" w:rsidRDefault="005E0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8"/>
    <w:rsid w:val="000F060D"/>
    <w:rsid w:val="0021634D"/>
    <w:rsid w:val="00567E8F"/>
    <w:rsid w:val="00592D61"/>
    <w:rsid w:val="005E0F71"/>
    <w:rsid w:val="006633C0"/>
    <w:rsid w:val="006C6AD3"/>
    <w:rsid w:val="00806BA6"/>
    <w:rsid w:val="008934AC"/>
    <w:rsid w:val="008B2640"/>
    <w:rsid w:val="00A74E63"/>
    <w:rsid w:val="00B34548"/>
    <w:rsid w:val="00BF3D2C"/>
    <w:rsid w:val="00D70AF0"/>
    <w:rsid w:val="00D87A1A"/>
    <w:rsid w:val="00E02B78"/>
    <w:rsid w:val="00EB07AA"/>
    <w:rsid w:val="00EC0A79"/>
    <w:rsid w:val="00F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8FF7-4444-400B-B6A0-F5107A9A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F71"/>
  </w:style>
  <w:style w:type="paragraph" w:styleId="a7">
    <w:name w:val="footer"/>
    <w:basedOn w:val="a"/>
    <w:link w:val="a8"/>
    <w:uiPriority w:val="99"/>
    <w:unhideWhenUsed/>
    <w:rsid w:val="005E0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Гирин Сергей Анатольевич</dc:creator>
  <cp:keywords/>
  <dc:description/>
  <cp:lastModifiedBy>Admin</cp:lastModifiedBy>
  <cp:revision>2</cp:revision>
  <cp:lastPrinted>2017-01-23T07:32:00Z</cp:lastPrinted>
  <dcterms:created xsi:type="dcterms:W3CDTF">2024-12-25T05:28:00Z</dcterms:created>
  <dcterms:modified xsi:type="dcterms:W3CDTF">2024-12-25T05:28:00Z</dcterms:modified>
</cp:coreProperties>
</file>